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84DAE5">
      <w:pPr>
        <w:jc w:val="center"/>
        <w:rPr>
          <w:rFonts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陕西师范大学研究生教育教学信息管理系统</w:t>
      </w:r>
    </w:p>
    <w:p w14:paraId="3CCE40A2">
      <w:pPr>
        <w:jc w:val="center"/>
        <w:rPr>
          <w:rFonts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研究生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秘书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论文功能模块使用说明</w:t>
      </w:r>
    </w:p>
    <w:p w14:paraId="13A1D3EA">
      <w:pPr>
        <w:pStyle w:val="2"/>
        <w:numPr>
          <w:ilvl w:val="0"/>
          <w:numId w:val="1"/>
        </w:numPr>
        <w:bidi w:val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平台登录</w:t>
      </w:r>
    </w:p>
    <w:p w14:paraId="6A808FE8">
      <w:pPr>
        <w:widowControl/>
        <w:ind w:firstLine="560" w:firstLineChars="200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输入网址（https://newyjs.snnu.edu.cn/），进入陕西师范大学研究生院/党委研究生工作部网站，下滑至服务平台部分，点击【研究生教育教学管理信息系统（新版）】。</w:t>
      </w:r>
    </w:p>
    <w:p w14:paraId="33DB8E1E">
      <w:pPr>
        <w:widowControl/>
        <w:ind w:firstLine="560" w:firstLineChars="200"/>
        <w:rPr>
          <w:rFonts w:hint="default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使用一网通办账号进行登录。</w:t>
      </w:r>
    </w:p>
    <w:p w14:paraId="5DE045EB">
      <w:pPr>
        <w:bidi w:val="0"/>
        <w:ind w:firstLine="420" w:firstLineChars="0"/>
      </w:pPr>
      <w:r>
        <w:drawing>
          <wp:inline distT="0" distB="0" distL="0" distR="0">
            <wp:extent cx="4613275" cy="2234565"/>
            <wp:effectExtent l="12700" t="12700" r="22225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54386" cy="2254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72631B">
      <w:pPr>
        <w:pStyle w:val="2"/>
        <w:numPr>
          <w:ilvl w:val="0"/>
          <w:numId w:val="1"/>
        </w:numPr>
        <w:bidi w:val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学生成果审核</w:t>
      </w:r>
    </w:p>
    <w:p w14:paraId="1B9BA741">
      <w:pPr>
        <w:ind w:firstLine="560" w:firstLineChars="200"/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1</w:t>
      </w:r>
      <w:r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.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登录成功后，进入【学生成果管理】模块，点击【学生成果审核】，可选择对不同类型的成果进行审核；</w:t>
      </w:r>
    </w:p>
    <w:p w14:paraId="13B9823A">
      <w:pPr>
        <w:jc w:val="center"/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drawing>
          <wp:inline distT="0" distB="0" distL="0" distR="0">
            <wp:extent cx="4572635" cy="2113280"/>
            <wp:effectExtent l="0" t="0" r="24765" b="203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80539" cy="21171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36F82E">
      <w:pPr>
        <w:numPr>
          <w:ilvl w:val="0"/>
          <w:numId w:val="2"/>
        </w:numPr>
        <w:ind w:firstLine="560" w:firstLineChars="200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以【学生论文信息审核】为例，点击【学生论文信息审核】，可【查看】并【审核】学生的成果提交信息。</w:t>
      </w:r>
    </w:p>
    <w:p w14:paraId="46A82864">
      <w:pPr>
        <w:widowControl w:val="0"/>
        <w:numPr>
          <w:ilvl w:val="0"/>
          <w:numId w:val="0"/>
        </w:numPr>
        <w:ind w:firstLine="420" w:firstLineChars="0"/>
        <w:jc w:val="both"/>
        <w:rPr>
          <w:rFonts w:hint="default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drawing>
          <wp:inline distT="0" distB="0" distL="114300" distR="114300">
            <wp:extent cx="5267960" cy="3265170"/>
            <wp:effectExtent l="12700" t="12700" r="27940" b="241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651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C5CADF">
      <w:pPr>
        <w:ind w:firstLine="420" w:firstLineChars="0"/>
        <w:jc w:val="center"/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drawing>
          <wp:inline distT="0" distB="0" distL="0" distR="0">
            <wp:extent cx="4834890" cy="2237740"/>
            <wp:effectExtent l="12700" t="12700" r="29210" b="355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34890" cy="22377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EC3A36">
      <w:pPr>
        <w:pStyle w:val="2"/>
        <w:numPr>
          <w:ilvl w:val="0"/>
          <w:numId w:val="1"/>
        </w:numPr>
        <w:bidi w:val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预答辩申请审核</w:t>
      </w:r>
    </w:p>
    <w:p w14:paraId="768C3F18">
      <w:pPr>
        <w:ind w:firstLine="560" w:firstLineChars="200"/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1.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进入【论文管理】模块，点击【预答辩管理】，选择【预答辩申请审核】；</w:t>
      </w:r>
    </w:p>
    <w:p w14:paraId="62BBDD0E">
      <w:pPr>
        <w:jc w:val="center"/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drawing>
          <wp:inline distT="0" distB="0" distL="0" distR="0">
            <wp:extent cx="5274310" cy="2517775"/>
            <wp:effectExtent l="0" t="0" r="8890" b="222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77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BD5864">
      <w:pPr>
        <w:ind w:firstLine="560" w:firstLineChars="200"/>
        <w:rPr>
          <w:rFonts w:hint="default" w:ascii="仿宋_GB2312" w:hAnsi="仿宋_GB2312" w:eastAsia="仿宋_GB2312" w:cs="仿宋_GB2312"/>
          <w:color w:val="FF0000"/>
          <w:kern w:val="0"/>
          <w:sz w:val="28"/>
          <w:szCs w:val="28"/>
          <w:lang w:val="en-US" w:eastAsia="zh-CN" w:bidi="ar"/>
        </w:rPr>
      </w:pPr>
      <w:r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2.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选择【年度】与【预答辩批次】，可【查看】并【审核】学生的预答辩申请信息。</w:t>
      </w:r>
      <w:r>
        <w:rPr>
          <w:rFonts w:hint="eastAsia" w:ascii="仿宋_GB2312" w:hAnsi="仿宋_GB2312" w:eastAsia="仿宋_GB2312" w:cs="仿宋_GB2312"/>
          <w:color w:val="FF0000"/>
          <w:kern w:val="0"/>
          <w:sz w:val="28"/>
          <w:szCs w:val="28"/>
          <w:lang w:val="en-US" w:eastAsia="zh-CN" w:bidi="ar"/>
        </w:rPr>
        <w:t>部分硕士走的是预审读审核，需要切换批次到预审读批次下进行审核。</w:t>
      </w:r>
    </w:p>
    <w:p w14:paraId="5AD2CBF2">
      <w:r>
        <w:drawing>
          <wp:inline distT="0" distB="0" distL="0" distR="0">
            <wp:extent cx="5330825" cy="2524760"/>
            <wp:effectExtent l="12700" t="12700" r="15875" b="2794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0825" cy="25247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B54E88">
      <w:pPr>
        <w:pStyle w:val="2"/>
        <w:numPr>
          <w:ilvl w:val="0"/>
          <w:numId w:val="1"/>
        </w:numPr>
        <w:bidi w:val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论文提交审核</w:t>
      </w:r>
    </w:p>
    <w:p w14:paraId="01FF65EB">
      <w:pPr>
        <w:ind w:firstLine="560" w:firstLineChars="200"/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1.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进入【论文管理】模块，点击【论文提交管理】，选择【论文提交审核】；</w:t>
      </w:r>
    </w:p>
    <w:p w14:paraId="58F144D6">
      <w:pPr>
        <w:jc w:val="center"/>
        <w:rPr>
          <w:lang w:bidi="ar"/>
        </w:rPr>
      </w:pPr>
      <w:r>
        <w:drawing>
          <wp:inline distT="0" distB="0" distL="0" distR="0">
            <wp:extent cx="4822190" cy="2195830"/>
            <wp:effectExtent l="0" t="0" r="3810" b="1397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26781" cy="21983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4FA4B1">
      <w:pPr>
        <w:ind w:firstLine="560" w:firstLineChars="200"/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2.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点击【去审核】可【查看】并【审核】学生已提交的盲审论文。</w:t>
      </w:r>
    </w:p>
    <w:p w14:paraId="28A0D037">
      <w:pPr>
        <w:ind w:firstLine="420" w:firstLineChars="0"/>
        <w:jc w:val="both"/>
        <w:rPr>
          <w:rFonts w:ascii="楷体" w:hAnsi="楷体" w:eastAsia="楷体" w:cs="楷体"/>
          <w:bCs/>
          <w:sz w:val="32"/>
          <w:szCs w:val="32"/>
        </w:rPr>
      </w:pPr>
      <w:r>
        <w:drawing>
          <wp:inline distT="0" distB="0" distL="0" distR="0">
            <wp:extent cx="4860925" cy="2252980"/>
            <wp:effectExtent l="12700" t="12700" r="28575" b="2032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71404" cy="22579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6A155A">
      <w:pPr>
        <w:ind w:firstLine="420" w:firstLineChars="0"/>
      </w:pPr>
      <w:r>
        <w:drawing>
          <wp:inline distT="0" distB="0" distL="0" distR="0">
            <wp:extent cx="4861560" cy="2585085"/>
            <wp:effectExtent l="12700" t="12700" r="27940" b="1841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61560" cy="25850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3DF8511"/>
    <w:multiLevelType w:val="singleLevel"/>
    <w:tmpl w:val="D3DF851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F5F17BE"/>
    <w:multiLevelType w:val="singleLevel"/>
    <w:tmpl w:val="FF5F17BE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87FFA7F4"/>
    <w:rsid w:val="53B81990"/>
    <w:rsid w:val="58017940"/>
    <w:rsid w:val="7BEF9EAD"/>
    <w:rsid w:val="87FFA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392</Words>
  <Characters>423</Characters>
  <Lines>0</Lines>
  <Paragraphs>0</Paragraphs>
  <TotalTime>22</TotalTime>
  <ScaleCrop>false</ScaleCrop>
  <LinksUpToDate>false</LinksUpToDate>
  <CharactersWithSpaces>423</CharactersWithSpaces>
  <Application>WPS Office_12.1.0.22175_F1E327BC-269C-435d-A152-05C5408002CA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2025-08-22T19:23:00Z</dcterms:created>
  <dc:creator>吴奕林</dc:creator>
  <cp:lastModifiedBy>青丘的漾</cp:lastModifiedBy>
  <dcterms:modified xsi:type="dcterms:W3CDTF">2025-09-11T08:02:14Z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2052-12.1.0.22175</vt:lpwstr>
  </property>
  <property fmtid="{D5CDD505-2E9C-101B-9397-08002B2CF9AE}" pid="3" name="ICV">
    <vt:lpwstr>8BA49BADF59D438DB897EDA89A1872B7_13</vt:lpwstr>
  </property>
  <property fmtid="{D5CDD505-2E9C-101B-9397-08002B2CF9AE}" pid="4" name="KSOTemplateDocerSaveRecord">
    <vt:lpwstr>eyJoZGlkIjoiODQ4ZTc4MmEwNDI3OWU1NTJhMTM3Zjk0Y2U5Mjk5OTIiLCJ1c2VySWQiOiIzNzkyMjU3MDgifQ==</vt:lpwstr>
  </property>
</Properties>
</file>