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附件1. 资格审查工作要求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313" w:afterLines="100" w:afterAutospacing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（时间：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截止9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</w:rPr>
        <w:t>月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color w:val="2F5597" w:themeColor="accent5" w:themeShade="BF"/>
          <w:sz w:val="32"/>
          <w:szCs w:val="32"/>
          <w:shd w:val="clear" w:color="auto" w:fill="FFFFFF"/>
        </w:rPr>
        <w:t>日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</w:rPr>
        <w:t>博士研究生申请学位资格审查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1.填写《陕西师范大学申请博士学位论文评阅审批表》，学位申请者应登录陕西师范大学研究生管理系统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instrText xml:space="preserve"> HYPERLINK "http://yjssys.snnu.edu.cn/"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http://yjssys.snnu.edu.cn/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,录入自己的科研成果，并于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color w:val="2F5597" w:themeColor="accent5" w:themeShade="BF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培养单位及所属分会初审通过的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《陕西师范大学申请博士学位论文评阅审批表》以及所有学术成果原件、复印件、及相关佐证材料（如，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）等装入密封的文件袋（一人一袋）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至学位办（文汇楼A段516室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）。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2.在学期间产出的学术成果要求，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分会原则上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参照《陕西师范大学博士、硕士学位申请者学术成果规定（2017年修订）》的要求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进行审核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二、其他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1.学位申请者申请学位时的科研成果除须满足学校的基本要求外，还应满足所在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分会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制定的具体要求。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.所有通过资格审核的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学位申请者名单，将于收到审核资料的三个工作日后分批进行网上公示；未通过资格审核的审核资料将通知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博士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学位申请者领回（学位办设有“退回资料领取箱”）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其余审核资料的领回需等待学位办后续通知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3.学位申请者所需填写表格及操作指南见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double"/>
          <w:shd w:val="clear" w:color="auto" w:fill="FFFFFF"/>
          <w:lang w:val="en-US" w:eastAsia="zh-CN"/>
        </w:rPr>
        <w:t>硕士、博士文件包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4.研究生信息管理系统成果登记操作手册见后附。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5.学术成果为中文论文时，须同时提交原件及复印件；学术成果为英文论文时，下载打印官方PDF版论文即视作原件，无需再次复印。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6.学术成果为英文论文时，须提交对应的中科院分区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检索证明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7.学术成果为专著时，须联系所属分会研究生秘书送专著外审，待外审通过后，方可使用该专著申请学位。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研究生信息管理系统成果登记操作手册</w:t>
      </w:r>
    </w:p>
    <w:p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0" w:name="_Toc517448152"/>
      <w:r>
        <w:rPr>
          <w:rFonts w:hint="eastAsia" w:eastAsiaTheme="minorEastAsia"/>
          <w:sz w:val="24"/>
          <w:szCs w:val="24"/>
        </w:rPr>
        <w:t>一．完善个人基本信息</w:t>
      </w:r>
      <w:bookmarkEnd w:id="0"/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功能菜单：其他</w:t>
      </w:r>
      <w:r>
        <w:rPr>
          <w:rFonts w:hint="eastAsia" w:asciiTheme="minorEastAsia" w:hAnsiTheme="minorEastAsia"/>
          <w:szCs w:val="21"/>
        </w:rPr>
        <w:t>-个人信息-个人基本信息管理</w:t>
      </w:r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操作说明：学生进入个人基本信息页面进行完善相关数据，然后点击右上角“</w:t>
      </w:r>
      <w:r>
        <w:drawing>
          <wp:inline distT="0" distB="0" distL="0" distR="0">
            <wp:extent cx="457200" cy="2190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/>
          <w:szCs w:val="21"/>
        </w:rPr>
        <w:t>”保存按钮。每一页都要点击保存。完善成果登记需要银行卡号，请注意填写准确的银行卡信息。</w:t>
      </w:r>
    </w:p>
    <w:p>
      <w:pPr>
        <w:spacing w:line="360" w:lineRule="auto"/>
        <w:ind w:firstLine="630" w:firstLineChars="3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要求：陕西省内中国建设银行借记卡。</w:t>
      </w:r>
    </w:p>
    <w:p>
      <w:pPr>
        <w:spacing w:line="360" w:lineRule="auto"/>
        <w:jc w:val="center"/>
        <w:rPr>
          <w:b/>
          <w:sz w:val="36"/>
          <w:szCs w:val="36"/>
        </w:rPr>
      </w:pPr>
      <w:r>
        <w:drawing>
          <wp:inline distT="0" distB="0" distL="0" distR="0">
            <wp:extent cx="5048250" cy="281940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after="0" w:line="360" w:lineRule="auto"/>
        <w:jc w:val="left"/>
        <w:rPr>
          <w:sz w:val="24"/>
          <w:szCs w:val="24"/>
        </w:rPr>
      </w:pPr>
      <w:bookmarkStart w:id="1" w:name="_Toc517448153"/>
      <w:r>
        <w:rPr>
          <w:rFonts w:hint="eastAsia" w:eastAsiaTheme="minorEastAsia"/>
          <w:sz w:val="24"/>
          <w:szCs w:val="24"/>
        </w:rPr>
        <w:t>二．登记成果</w:t>
      </w:r>
      <w:bookmarkEnd w:id="1"/>
    </w:p>
    <w:p>
      <w:pPr>
        <w:pStyle w:val="3"/>
        <w:spacing w:before="0" w:after="0" w:line="360" w:lineRule="auto"/>
        <w:jc w:val="left"/>
        <w:rPr>
          <w:rFonts w:asciiTheme="minorEastAsia" w:hAnsiTheme="minorEastAsia" w:eastAsiaTheme="minorEastAsia"/>
          <w:sz w:val="21"/>
          <w:szCs w:val="21"/>
        </w:rPr>
      </w:pPr>
      <w:bookmarkStart w:id="2" w:name="_Toc517448154"/>
      <w:r>
        <w:rPr>
          <w:rFonts w:hint="eastAsia" w:asciiTheme="minorEastAsia" w:hAnsiTheme="minorEastAsia" w:eastAsiaTheme="minorEastAsia"/>
          <w:sz w:val="21"/>
          <w:szCs w:val="21"/>
        </w:rPr>
        <w:t>1．发表论文</w:t>
      </w:r>
      <w:bookmarkEnd w:id="2"/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-论文成果-发表论文信息登记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操作说明：点击“</w:t>
      </w:r>
      <w:r>
        <w:drawing>
          <wp:inline distT="0" distB="0" distL="0" distR="0">
            <wp:extent cx="476250" cy="1714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”在弹出框中完善信息后点击“</w:t>
      </w:r>
      <w:r>
        <w:drawing>
          <wp:inline distT="0" distB="0" distL="0" distR="0">
            <wp:extent cx="419100" cy="1619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”，然后点击“</w:t>
      </w:r>
      <w:r>
        <w:drawing>
          <wp:inline distT="0" distB="0" distL="0" distR="0">
            <wp:extent cx="161925" cy="16192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”在弹出框中继续</w:t>
      </w:r>
    </w:p>
    <w:p>
      <w:pPr>
        <w:spacing w:line="360" w:lineRule="auto"/>
        <w:ind w:firstLine="420" w:firstLineChars="200"/>
        <w:jc w:val="left"/>
      </w:pPr>
      <w:r>
        <w:rPr>
          <w:rFonts w:hint="eastAsia"/>
        </w:rPr>
        <w:t>完善信息后保存；如需删除请点击“</w:t>
      </w:r>
      <w:r>
        <w:drawing>
          <wp:inline distT="0" distB="0" distL="0" distR="0">
            <wp:extent cx="142875" cy="1428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”。</w:t>
      </w:r>
    </w:p>
    <w:p>
      <w:pPr>
        <w:spacing w:line="360" w:lineRule="auto"/>
        <w:jc w:val="center"/>
      </w:pPr>
      <w:r>
        <w:drawing>
          <wp:inline distT="0" distB="0" distL="0" distR="0">
            <wp:extent cx="6486525" cy="21907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点击新增后完善基础信息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6477000" cy="36671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点击铅笔进入详细信息的填写</w:t>
      </w:r>
    </w:p>
    <w:p>
      <w:pPr>
        <w:spacing w:line="360" w:lineRule="auto"/>
        <w:jc w:val="center"/>
      </w:pPr>
      <w:r>
        <w:drawing>
          <wp:inline distT="0" distB="0" distL="0" distR="0">
            <wp:extent cx="5610225" cy="47815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  <w:r>
        <w:rPr>
          <w:rFonts w:hint="eastAsia"/>
        </w:rPr>
        <w:t>第二个页面“收录、作者”</w:t>
      </w:r>
    </w:p>
    <w:p>
      <w:pPr>
        <w:spacing w:line="360" w:lineRule="auto"/>
        <w:ind w:firstLine="422" w:firstLineChars="200"/>
        <w:jc w:val="left"/>
        <w:rPr>
          <w:b/>
        </w:rPr>
      </w:pPr>
      <w:r>
        <w:rPr>
          <w:rFonts w:hint="eastAsia"/>
          <w:b/>
        </w:rPr>
        <w:t>填写说明：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论文题目：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序号：</w:t>
      </w:r>
      <w:r>
        <w:rPr>
          <w:rFonts w:hint="eastAsia"/>
        </w:rPr>
        <w:t>个人录入的第几篇文章，就填多少；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论文英文名称：</w:t>
      </w:r>
      <w:r>
        <w:rPr>
          <w:rFonts w:hint="eastAsia"/>
        </w:rPr>
        <w:t>如实填写，如果是英文文章标题则不填；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论文关键字：</w:t>
      </w:r>
      <w:r>
        <w:t>3-5</w:t>
      </w:r>
      <w:r>
        <w:rPr>
          <w:rFonts w:hint="eastAsia"/>
        </w:rPr>
        <w:t>个；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是否译文：</w:t>
      </w:r>
      <w:r>
        <w:rPr>
          <w:rFonts w:hint="eastAsia"/>
        </w:rPr>
        <w:t>选择“是”或“否”；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  <w:color w:val="C00000"/>
        </w:rPr>
        <w:t>是否一般期刊：</w:t>
      </w:r>
      <w:r>
        <w:rPr>
          <w:rFonts w:hint="eastAsia"/>
        </w:rPr>
        <w:t>有两个选项“非一般期刊”和“一般期刊”。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如期刊级别在“重要</w:t>
      </w:r>
      <w:r>
        <w:t>G</w:t>
      </w:r>
      <w:r>
        <w:rPr>
          <w:rFonts w:hint="eastAsia"/>
        </w:rPr>
        <w:t>级”（文科）、“重要理”（理科）及以上的，请选择“非一般期刊”，并填写右侧的“</w:t>
      </w:r>
      <w:r>
        <w:t>ISSN</w:t>
      </w:r>
      <w:r>
        <w:rPr>
          <w:rFonts w:hint="eastAsia"/>
        </w:rPr>
        <w:t>号”，保存信息后，下方的“发表刊物”和“期刊等级”会自动匹配链接；如</w:t>
      </w:r>
      <w:r>
        <w:t>果匹配</w:t>
      </w:r>
      <w:r>
        <w:rPr>
          <w:rFonts w:hint="eastAsia"/>
        </w:rPr>
        <w:t>等级有误</w:t>
      </w:r>
      <w:r>
        <w:t>，请</w:t>
      </w:r>
      <w:r>
        <w:rPr>
          <w:rFonts w:hint="eastAsia"/>
        </w:rPr>
        <w:t>联系研究生</w:t>
      </w:r>
      <w:r>
        <w:t>院</w:t>
      </w:r>
      <w:r>
        <w:rPr>
          <w:rFonts w:hint="eastAsia"/>
        </w:rPr>
        <w:t>综合办解决。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</w:pPr>
      <w:r>
        <w:rPr>
          <w:rFonts w:hint="eastAsia"/>
        </w:rPr>
        <w:t>如期刊级别属于一般公开类的，请选择“一般期刊”，并</w:t>
      </w:r>
      <w:r>
        <w:rPr>
          <w:rFonts w:hint="eastAsia"/>
          <w:b/>
          <w:color w:val="FF0000"/>
        </w:rPr>
        <w:t>手动录入</w:t>
      </w:r>
      <w:r>
        <w:rPr>
          <w:rFonts w:hint="eastAsia"/>
        </w:rPr>
        <w:t>右侧的“</w:t>
      </w:r>
      <w:r>
        <w:t>ISSN</w:t>
      </w:r>
      <w:r>
        <w:rPr>
          <w:rFonts w:hint="eastAsia"/>
        </w:rPr>
        <w:t>号”和下方的“发表刊物”，“期刊等级”则统一匹配为“一般公开”。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hint="eastAsia"/>
        </w:rPr>
      </w:pPr>
      <w:r>
        <w:rPr>
          <w:rFonts w:hint="eastAsia"/>
          <w:b/>
        </w:rPr>
        <w:t>集刊（以书代刊）</w:t>
      </w:r>
      <w:r>
        <w:rPr>
          <w:rFonts w:hint="eastAsia"/>
        </w:rPr>
        <w:t>录入，参照论文录入。如果级别在重要以上，请将集刊的名称、书号、收录情况、级别、文章的题目等信息发至研究生</w:t>
      </w:r>
      <w:r>
        <w:t>院</w:t>
      </w:r>
      <w:r>
        <w:rPr>
          <w:rFonts w:hint="eastAsia"/>
        </w:rPr>
        <w:t>综合办邮箱，我们将联系后台技术人员添加。录入请按照上述步骤操作，ISSN号字段直接输入集刊的ISBN号。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发表刊物、期刊等级：</w:t>
      </w:r>
      <w:r>
        <w:rPr>
          <w:rFonts w:hint="eastAsia"/>
        </w:rPr>
        <w:t>请参照上一条；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刊物年号、刊物卷号、刊物期号、开始页数、结束页数、字数：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</w:pPr>
      <w:r>
        <w:rPr>
          <w:rFonts w:hint="eastAsia"/>
          <w:b/>
        </w:rPr>
        <w:t>发表情况：</w:t>
      </w:r>
      <w:r>
        <w:rPr>
          <w:rFonts w:hint="eastAsia"/>
        </w:rPr>
        <w:t>“已发表”和“已录用”，如实填写；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10、</w:t>
      </w:r>
      <w:r>
        <w:rPr>
          <w:rFonts w:hint="eastAsia"/>
          <w:b/>
          <w:color w:val="C00000"/>
        </w:rPr>
        <w:t>刊出日期：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11、</w:t>
      </w:r>
      <w:r>
        <w:rPr>
          <w:rFonts w:hint="eastAsia"/>
          <w:b/>
        </w:rPr>
        <w:t>与学位论文相关：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12、</w:t>
      </w:r>
      <w:r>
        <w:rPr>
          <w:rFonts w:hint="eastAsia"/>
          <w:b/>
          <w:color w:val="C00000"/>
        </w:rPr>
        <w:t>导师是第一作者：</w:t>
      </w:r>
      <w:r>
        <w:rPr>
          <w:rFonts w:hint="eastAsia"/>
        </w:rPr>
        <w:t>“是”和“否”，请务必如实填写；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13、</w:t>
      </w:r>
      <w:r>
        <w:rPr>
          <w:rFonts w:hint="eastAsia"/>
          <w:b/>
        </w:rPr>
        <w:t>论文类型、论文类别、发表范围、版面：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14、</w:t>
      </w:r>
      <w:r>
        <w:rPr>
          <w:rFonts w:hint="eastAsia"/>
          <w:b/>
        </w:rPr>
        <w:t>署名单位：</w:t>
      </w:r>
      <w:r>
        <w:rPr>
          <w:rFonts w:hint="eastAsia"/>
        </w:rPr>
        <w:t>统一填“陕西师范大学”；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15、</w:t>
      </w:r>
      <w:r>
        <w:rPr>
          <w:rFonts w:hint="eastAsia"/>
          <w:b/>
        </w:rPr>
        <w:t>检索日期：</w:t>
      </w:r>
      <w:r>
        <w:rPr>
          <w:rFonts w:hint="eastAsia"/>
        </w:rPr>
        <w:t>如实填写；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16、</w:t>
      </w:r>
      <w:r>
        <w:rPr>
          <w:rFonts w:hint="eastAsia"/>
          <w:b/>
        </w:rPr>
        <w:t>扫描材料：</w:t>
      </w:r>
      <w:r>
        <w:rPr>
          <w:rFonts w:hint="eastAsia"/>
        </w:rPr>
        <w:t>将期刊封面、目录、文章页面排成照片，命名后按顺序排列，并将扫描的照片统一压缩为</w:t>
      </w:r>
      <w:r>
        <w:t xml:space="preserve">  .rar  </w:t>
      </w:r>
      <w:r>
        <w:rPr>
          <w:rFonts w:hint="eastAsia"/>
        </w:rPr>
        <w:t>文件，点击导入→上传；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color w:val="auto"/>
          <w:lang w:val="en-US" w:eastAsia="zh-CN"/>
        </w:rPr>
        <w:t>17、</w:t>
      </w:r>
      <w:r>
        <w:rPr>
          <w:rFonts w:hint="eastAsia"/>
          <w:b/>
          <w:color w:val="C00000"/>
        </w:rPr>
        <w:t>分区及影响因子：</w:t>
      </w:r>
      <w:r>
        <w:t>SCI(E)</w:t>
      </w:r>
      <w:r>
        <w:rPr>
          <w:rFonts w:hint="eastAsia"/>
        </w:rPr>
        <w:t>、</w:t>
      </w:r>
      <w:r>
        <w:t>SSCI</w:t>
      </w:r>
      <w:r>
        <w:rPr>
          <w:rFonts w:hint="eastAsia"/>
        </w:rPr>
        <w:t>源期刊请填写，其余类别期刊都不填，请严格按照以下格式录入，如“</w:t>
      </w:r>
      <w:r>
        <w:rPr>
          <w:rFonts w:hint="eastAsia"/>
          <w:b/>
          <w:color w:val="C00000"/>
        </w:rPr>
        <w:t>一区，</w:t>
      </w:r>
      <w:r>
        <w:rPr>
          <w:b/>
          <w:color w:val="C00000"/>
        </w:rPr>
        <w:t>IF=2.357</w:t>
      </w:r>
      <w:r>
        <w:rPr>
          <w:rFonts w:hint="eastAsia"/>
        </w:rPr>
        <w:t>”，其余类别期刊都不填。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18、</w:t>
      </w:r>
      <w:r>
        <w:rPr>
          <w:rFonts w:hint="eastAsia"/>
          <w:b/>
        </w:rPr>
        <w:t>作者数量：</w:t>
      </w:r>
      <w:r>
        <w:rPr>
          <w:rFonts w:hint="eastAsia"/>
        </w:rPr>
        <w:t>自动获取，请转到“收录、作者”页面具体填写；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19、</w:t>
      </w:r>
      <w:r>
        <w:rPr>
          <w:rFonts w:hint="eastAsia"/>
          <w:b/>
        </w:rPr>
        <w:t>登记人：</w:t>
      </w:r>
      <w:r>
        <w:rPr>
          <w:rFonts w:hint="eastAsia"/>
        </w:rPr>
        <w:t>自动获取，无需填写；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20、</w:t>
      </w:r>
      <w:r>
        <w:rPr>
          <w:rFonts w:hint="eastAsia"/>
          <w:b/>
        </w:rPr>
        <w:t>作者情况：</w:t>
      </w:r>
      <w:r>
        <w:rPr>
          <w:rFonts w:hint="eastAsia"/>
        </w:rPr>
        <w:t>点击“</w:t>
      </w:r>
      <w:r>
        <w:drawing>
          <wp:inline distT="0" distB="0" distL="0" distR="0">
            <wp:extent cx="476250" cy="171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”，录入所有作者的信息，校内选择，校外手动录入，并把作者的排序序号标记清楚，结束后核对一遍作者排名情况是否正确，这一点非常重要。</w:t>
      </w:r>
    </w:p>
    <w:p>
      <w:pPr>
        <w:pStyle w:val="7"/>
        <w:numPr>
          <w:ilvl w:val="0"/>
          <w:numId w:val="0"/>
        </w:numPr>
        <w:spacing w:line="360" w:lineRule="auto"/>
        <w:ind w:left="420" w:leftChars="0"/>
        <w:jc w:val="left"/>
      </w:pPr>
      <w:r>
        <w:rPr>
          <w:rFonts w:hint="eastAsia"/>
          <w:b w:val="0"/>
          <w:bCs/>
          <w:lang w:val="en-US" w:eastAsia="zh-CN"/>
        </w:rPr>
        <w:t>21、</w:t>
      </w:r>
      <w:r>
        <w:rPr>
          <w:rFonts w:hint="eastAsia"/>
          <w:b/>
        </w:rPr>
        <w:t>收录情况：</w:t>
      </w:r>
      <w:r>
        <w:rPr>
          <w:rFonts w:hint="eastAsia"/>
        </w:rPr>
        <w:t>如实填写。</w:t>
      </w:r>
    </w:p>
    <w:p>
      <w:pPr>
        <w:pStyle w:val="7"/>
        <w:spacing w:line="360" w:lineRule="auto"/>
        <w:jc w:val="left"/>
      </w:pPr>
      <w:r>
        <w:rPr>
          <w:rFonts w:hint="eastAsia"/>
          <w:b w:val="0"/>
          <w:bCs/>
          <w:lang w:val="en-US" w:eastAsia="zh-CN"/>
        </w:rPr>
        <w:t>22、</w:t>
      </w:r>
      <w:r>
        <w:rPr>
          <w:rFonts w:hint="eastAsia"/>
          <w:b/>
        </w:rPr>
        <w:t>填写过程中如</w:t>
      </w:r>
      <w:r>
        <w:rPr>
          <w:rFonts w:hint="eastAsia"/>
          <w:b/>
          <w:lang w:val="en-US" w:eastAsia="zh-CN"/>
        </w:rPr>
        <w:t>出现无法录入等相关问题，请联系研究生院综合办（029-85310348）</w:t>
      </w:r>
      <w:r>
        <w:rPr>
          <w:rFonts w:hint="eastAsia"/>
          <w:b/>
        </w:rPr>
        <w:t>。</w:t>
      </w:r>
    </w:p>
    <w:p>
      <w:pPr>
        <w:pStyle w:val="3"/>
        <w:spacing w:before="0" w:after="0" w:line="360" w:lineRule="auto"/>
        <w:rPr>
          <w:rFonts w:asciiTheme="minorEastAsia" w:hAnsiTheme="minorEastAsia" w:eastAsiaTheme="minorEastAsia"/>
          <w:sz w:val="21"/>
          <w:szCs w:val="21"/>
        </w:rPr>
      </w:pPr>
      <w:bookmarkStart w:id="3" w:name="_Toc517448155"/>
      <w:r>
        <w:rPr>
          <w:rFonts w:hint="eastAsia" w:asciiTheme="minorEastAsia" w:hAnsiTheme="minorEastAsia" w:eastAsiaTheme="minorEastAsia"/>
          <w:sz w:val="21"/>
          <w:szCs w:val="21"/>
        </w:rPr>
        <w:t>2．发明专利</w:t>
      </w:r>
      <w:bookmarkEnd w:id="3"/>
    </w:p>
    <w:p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-论文成果-发明专利信息登记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（1）新增专利信息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4667250" cy="23622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）上传扫描件，完善相关数据，每一页都要点击保存。</w:t>
      </w:r>
    </w:p>
    <w:p>
      <w:pPr>
        <w:spacing w:line="360" w:lineRule="auto"/>
        <w:jc w:val="center"/>
      </w:pPr>
      <w:r>
        <w:drawing>
          <wp:inline distT="0" distB="0" distL="0" distR="0">
            <wp:extent cx="4457700" cy="2876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Theme="minorEastAsia" w:hAnsiTheme="minorEastAsia" w:eastAsiaTheme="minorEastAsia"/>
          <w:sz w:val="21"/>
          <w:szCs w:val="21"/>
        </w:rPr>
      </w:pPr>
      <w:bookmarkStart w:id="4" w:name="_Toc517448156"/>
      <w:r>
        <w:rPr>
          <w:rFonts w:hint="eastAsia" w:asciiTheme="minorEastAsia" w:hAnsiTheme="minorEastAsia" w:eastAsiaTheme="minorEastAsia"/>
          <w:sz w:val="21"/>
          <w:szCs w:val="21"/>
        </w:rPr>
        <w:t>3．专著</w:t>
      </w:r>
      <w:bookmarkEnd w:id="4"/>
    </w:p>
    <w:p>
      <w:pPr>
        <w:spacing w:line="360" w:lineRule="auto"/>
        <w:ind w:firstLine="420" w:firstLineChars="200"/>
        <w:rPr>
          <w:rFonts w:asciiTheme="minorEastAsia" w:hAnsiTheme="minorEastAsia"/>
          <w:b/>
          <w:color w:val="FF0000"/>
          <w:sz w:val="24"/>
          <w:szCs w:val="24"/>
        </w:rPr>
      </w:pPr>
      <w:r>
        <w:rPr>
          <w:rFonts w:hint="eastAsia"/>
        </w:rPr>
        <w:t>功能菜单：</w:t>
      </w:r>
      <w:r>
        <w:rPr>
          <w:rFonts w:hint="eastAsia"/>
          <w:b/>
          <w:color w:val="FF0000"/>
        </w:rPr>
        <w:t>学位</w:t>
      </w:r>
      <w:r>
        <w:rPr>
          <w:rFonts w:hint="eastAsia" w:asciiTheme="minorEastAsia" w:hAnsiTheme="minorEastAsia"/>
          <w:b/>
          <w:color w:val="FF0000"/>
          <w:sz w:val="24"/>
          <w:szCs w:val="24"/>
        </w:rPr>
        <w:t>-论文成果-专著情况信息登记</w:t>
      </w:r>
    </w:p>
    <w:p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（1）新增著作权登记信息</w:t>
      </w:r>
    </w:p>
    <w:p>
      <w:pPr>
        <w:spacing w:line="360" w:lineRule="auto"/>
        <w:jc w:val="center"/>
      </w:pPr>
      <w:r>
        <w:drawing>
          <wp:inline distT="0" distB="0" distL="0" distR="0">
            <wp:extent cx="4772025" cy="22383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）编辑保存相关数据信息</w:t>
      </w:r>
    </w:p>
    <w:p>
      <w:pPr>
        <w:jc w:val="center"/>
      </w:pPr>
      <w:r>
        <w:drawing>
          <wp:inline distT="0" distB="0" distL="0" distR="0">
            <wp:extent cx="4758690" cy="2362200"/>
            <wp:effectExtent l="0" t="0" r="381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0008" cy="236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pStyle w:val="3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其他</w:t>
      </w:r>
      <w:r>
        <w:rPr>
          <w:rFonts w:asciiTheme="minorEastAsia" w:hAnsiTheme="minorEastAsia" w:eastAsiaTheme="minorEastAsia"/>
          <w:sz w:val="21"/>
          <w:szCs w:val="21"/>
        </w:rPr>
        <w:t>信息</w:t>
      </w:r>
      <w:r>
        <w:rPr>
          <w:rFonts w:hint="eastAsia" w:asciiTheme="minorEastAsia" w:hAnsiTheme="minorEastAsia" w:eastAsiaTheme="minorEastAsia"/>
          <w:sz w:val="21"/>
          <w:szCs w:val="21"/>
        </w:rPr>
        <w:t>录入参照</w:t>
      </w:r>
      <w:r>
        <w:rPr>
          <w:rFonts w:asciiTheme="minorEastAsia" w:hAnsiTheme="minorEastAsia" w:eastAsiaTheme="minorEastAsia"/>
          <w:sz w:val="21"/>
          <w:szCs w:val="21"/>
        </w:rPr>
        <w:t>以上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38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122713"/>
    <w:multiLevelType w:val="multilevel"/>
    <w:tmpl w:val="53122713"/>
    <w:lvl w:ilvl="0" w:tentative="0">
      <w:start w:val="1"/>
      <w:numFmt w:val="decimal"/>
      <w:lvlText w:val="%1、"/>
      <w:lvlJc w:val="left"/>
      <w:pPr>
        <w:ind w:left="780" w:hanging="36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741B9F"/>
    <w:multiLevelType w:val="multilevel"/>
    <w:tmpl w:val="6E741B9F"/>
    <w:lvl w:ilvl="0" w:tentative="0">
      <w:start w:val="1"/>
      <w:numFmt w:val="decimalEnclosedCircle"/>
      <w:lvlText w:val="%1"/>
      <w:lvlJc w:val="left"/>
      <w:pPr>
        <w:ind w:left="2670" w:hanging="360"/>
      </w:pPr>
    </w:lvl>
    <w:lvl w:ilvl="1" w:tentative="0">
      <w:start w:val="1"/>
      <w:numFmt w:val="lowerLetter"/>
      <w:lvlText w:val="%2)"/>
      <w:lvlJc w:val="left"/>
      <w:pPr>
        <w:ind w:left="3150" w:hanging="420"/>
      </w:pPr>
    </w:lvl>
    <w:lvl w:ilvl="2" w:tentative="0">
      <w:start w:val="1"/>
      <w:numFmt w:val="lowerRoman"/>
      <w:lvlText w:val="%3."/>
      <w:lvlJc w:val="right"/>
      <w:pPr>
        <w:ind w:left="3570" w:hanging="420"/>
      </w:pPr>
    </w:lvl>
    <w:lvl w:ilvl="3" w:tentative="0">
      <w:start w:val="1"/>
      <w:numFmt w:val="decimal"/>
      <w:lvlText w:val="%4."/>
      <w:lvlJc w:val="left"/>
      <w:pPr>
        <w:ind w:left="3990" w:hanging="420"/>
      </w:pPr>
    </w:lvl>
    <w:lvl w:ilvl="4" w:tentative="0">
      <w:start w:val="1"/>
      <w:numFmt w:val="lowerLetter"/>
      <w:lvlText w:val="%5)"/>
      <w:lvlJc w:val="left"/>
      <w:pPr>
        <w:ind w:left="4410" w:hanging="420"/>
      </w:pPr>
    </w:lvl>
    <w:lvl w:ilvl="5" w:tentative="0">
      <w:start w:val="1"/>
      <w:numFmt w:val="lowerRoman"/>
      <w:lvlText w:val="%6."/>
      <w:lvlJc w:val="right"/>
      <w:pPr>
        <w:ind w:left="4830" w:hanging="420"/>
      </w:pPr>
    </w:lvl>
    <w:lvl w:ilvl="6" w:tentative="0">
      <w:start w:val="1"/>
      <w:numFmt w:val="decimal"/>
      <w:lvlText w:val="%7."/>
      <w:lvlJc w:val="left"/>
      <w:pPr>
        <w:ind w:left="5250" w:hanging="420"/>
      </w:pPr>
    </w:lvl>
    <w:lvl w:ilvl="7" w:tentative="0">
      <w:start w:val="1"/>
      <w:numFmt w:val="lowerLetter"/>
      <w:lvlText w:val="%8)"/>
      <w:lvlJc w:val="left"/>
      <w:pPr>
        <w:ind w:left="5670" w:hanging="420"/>
      </w:pPr>
    </w:lvl>
    <w:lvl w:ilvl="8" w:tentative="0">
      <w:start w:val="1"/>
      <w:numFmt w:val="lowerRoman"/>
      <w:lvlText w:val="%9."/>
      <w:lvlJc w:val="right"/>
      <w:pPr>
        <w:ind w:left="60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0EB6856"/>
    <w:rsid w:val="1B3141A5"/>
    <w:rsid w:val="21FA4B7A"/>
    <w:rsid w:val="29F34BFB"/>
    <w:rsid w:val="2CDB125E"/>
    <w:rsid w:val="2DCC2EAD"/>
    <w:rsid w:val="375A1225"/>
    <w:rsid w:val="38D977AD"/>
    <w:rsid w:val="47DE3C8A"/>
    <w:rsid w:val="508422D1"/>
    <w:rsid w:val="5F224EC9"/>
    <w:rsid w:val="6130048B"/>
    <w:rsid w:val="68837FEE"/>
    <w:rsid w:val="68CC6443"/>
    <w:rsid w:val="6C6019E2"/>
    <w:rsid w:val="6D681F15"/>
    <w:rsid w:val="716272E4"/>
    <w:rsid w:val="74EB1D5D"/>
    <w:rsid w:val="76C47863"/>
    <w:rsid w:val="7B3F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1853</Words>
  <Characters>1954</Characters>
  <Lines>0</Lines>
  <Paragraphs>0</Paragraphs>
  <TotalTime>10</TotalTime>
  <ScaleCrop>false</ScaleCrop>
  <LinksUpToDate>false</LinksUpToDate>
  <CharactersWithSpaces>1960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2022-08-31T03:11:00Z</dcterms:created>
  <dc:creator>青丘的羊</dc:creator>
  <cp:lastModifiedBy>青丘的漾</cp:lastModifiedBy>
  <cp:lastPrinted>2022-09-08T09:45:00Z</cp:lastPrinted>
  <dcterms:modified xsi:type="dcterms:W3CDTF">2023-09-05T01:57:24Z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1ACA651C03104338B17DCF5A2DDB57BC</vt:lpwstr>
  </property>
</Properties>
</file>